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0" w:rsidRPr="008C5F25" w:rsidRDefault="00FD0305" w:rsidP="008C5F25">
      <w:pPr>
        <w:ind w:left="-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1905</wp:posOffset>
            </wp:positionV>
            <wp:extent cx="1285875" cy="9334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78" w:type="dxa"/>
        <w:jc w:val="center"/>
        <w:tblInd w:w="292" w:type="dxa"/>
        <w:tblLook w:val="04A0"/>
      </w:tblPr>
      <w:tblGrid>
        <w:gridCol w:w="4677"/>
        <w:gridCol w:w="2336"/>
        <w:gridCol w:w="2965"/>
      </w:tblGrid>
      <w:tr w:rsidR="00EB7C96" w:rsidRPr="008C5F25" w:rsidTr="00E37232">
        <w:trPr>
          <w:trHeight w:val="1212"/>
          <w:jc w:val="center"/>
        </w:trPr>
        <w:tc>
          <w:tcPr>
            <w:tcW w:w="4677" w:type="dxa"/>
          </w:tcPr>
          <w:p w:rsidR="00EB7C96" w:rsidRPr="008C5F25" w:rsidRDefault="00EB7C96" w:rsidP="008C5F25">
            <w:pPr>
              <w:pStyle w:val="En-tte"/>
              <w:ind w:left="63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5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REPUBLIQUE ALGERIENNE</w:t>
            </w:r>
            <w:r w:rsidR="00981A77" w:rsidRPr="008C5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EB7C96" w:rsidRPr="008C5F25" w:rsidRDefault="00EB7C96" w:rsidP="008C5F25">
            <w:pPr>
              <w:pStyle w:val="En-tte"/>
              <w:ind w:left="63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5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DEMOCRATIQUE ET POPULAIRE</w:t>
            </w:r>
          </w:p>
          <w:p w:rsidR="00454022" w:rsidRPr="008C5F25" w:rsidRDefault="00454022" w:rsidP="008C5F25">
            <w:pPr>
              <w:pStyle w:val="En-tte"/>
              <w:ind w:left="63"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EB7C96" w:rsidRPr="008C5F25" w:rsidRDefault="00EB7C96" w:rsidP="008C5F25">
            <w:pPr>
              <w:pStyle w:val="En-tte"/>
              <w:ind w:left="6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5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MINISTERE DE L’ENSEIGNEMENT SUPERIEURE ET DE LA RECHERCHE SCIENTIFIQUE</w:t>
            </w:r>
          </w:p>
          <w:p w:rsidR="00454022" w:rsidRPr="008C5F25" w:rsidRDefault="00454022" w:rsidP="008C5F25">
            <w:pPr>
              <w:pStyle w:val="En-tte"/>
              <w:ind w:left="63"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EB7C96" w:rsidRPr="008C5F25" w:rsidRDefault="00EB7C96" w:rsidP="008C5F25">
            <w:pPr>
              <w:pStyle w:val="En-tte"/>
              <w:tabs>
                <w:tab w:val="clear" w:pos="4536"/>
                <w:tab w:val="center" w:pos="4678"/>
              </w:tabs>
              <w:ind w:left="6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C5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CONFERENCE REGIONALE DES UNIVERSITES </w:t>
            </w:r>
            <w:r w:rsidR="008C5F25" w:rsidRPr="008C5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CENTRE</w:t>
            </w:r>
          </w:p>
        </w:tc>
        <w:tc>
          <w:tcPr>
            <w:tcW w:w="2336" w:type="dxa"/>
          </w:tcPr>
          <w:p w:rsidR="00EB7C96" w:rsidRPr="008C5F25" w:rsidRDefault="00EB7C96" w:rsidP="008C5F25">
            <w:pPr>
              <w:pStyle w:val="En-tte"/>
              <w:tabs>
                <w:tab w:val="clear" w:pos="4536"/>
                <w:tab w:val="left" w:pos="4678"/>
              </w:tabs>
              <w:ind w:left="-284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65" w:type="dxa"/>
          </w:tcPr>
          <w:p w:rsidR="00EB7C96" w:rsidRPr="008C5F25" w:rsidRDefault="00EB7C96" w:rsidP="008C5F25">
            <w:pPr>
              <w:bidi/>
              <w:spacing w:line="276" w:lineRule="auto"/>
              <w:ind w:left="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الجمهورية الجزائرية الديمقراطية الشعبية</w:t>
            </w:r>
            <w:r w:rsidR="00454022" w:rsidRPr="008C5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EB7C96" w:rsidRDefault="00EB7C96" w:rsidP="008C5F25">
            <w:pPr>
              <w:pStyle w:val="En-tte"/>
              <w:bidi/>
              <w:spacing w:line="276" w:lineRule="auto"/>
              <w:ind w:left="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والبحث العلمي</w:t>
            </w:r>
          </w:p>
          <w:p w:rsidR="008C5F25" w:rsidRPr="008C5F25" w:rsidRDefault="008C5F25" w:rsidP="008C5F25">
            <w:pPr>
              <w:pStyle w:val="En-tte"/>
              <w:bidi/>
              <w:spacing w:line="276" w:lineRule="auto"/>
              <w:ind w:left="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7C96" w:rsidRPr="008C5F25" w:rsidRDefault="00EB7C96" w:rsidP="008C5F25">
            <w:pPr>
              <w:pStyle w:val="En-tte"/>
              <w:bidi/>
              <w:spacing w:line="276" w:lineRule="auto"/>
              <w:ind w:left="6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الندوة </w:t>
            </w:r>
            <w:proofErr w:type="spellStart"/>
            <w:r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الجهوية</w:t>
            </w:r>
            <w:proofErr w:type="spellEnd"/>
            <w:r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لجامعات </w:t>
            </w:r>
            <w:r w:rsidR="008C5F25" w:rsidRPr="008C5F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الوسط</w:t>
            </w:r>
          </w:p>
        </w:tc>
      </w:tr>
    </w:tbl>
    <w:p w:rsidR="00DC5424" w:rsidRPr="008C5F25" w:rsidRDefault="00DC5424" w:rsidP="008C5F25">
      <w:pPr>
        <w:ind w:left="-284"/>
        <w:jc w:val="both"/>
        <w:rPr>
          <w:rFonts w:asciiTheme="majorBidi" w:hAnsiTheme="majorBidi" w:cstheme="majorBidi"/>
          <w:sz w:val="20"/>
          <w:szCs w:val="20"/>
        </w:rPr>
      </w:pPr>
    </w:p>
    <w:p w:rsidR="009A0B83" w:rsidRPr="00FD0305" w:rsidRDefault="003424AF" w:rsidP="008C5F25">
      <w:pPr>
        <w:shd w:val="clear" w:color="auto" w:fill="D9D9D9"/>
        <w:ind w:right="-1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D0305">
        <w:rPr>
          <w:rFonts w:asciiTheme="majorBidi" w:hAnsiTheme="majorBidi" w:cstheme="majorBidi"/>
          <w:b/>
          <w:bCs/>
          <w:sz w:val="32"/>
          <w:szCs w:val="32"/>
          <w:u w:val="single"/>
        </w:rPr>
        <w:t>PROGRAMME DE FORMATION R</w:t>
      </w:r>
      <w:r w:rsidR="00F93E68" w:rsidRPr="00FD0305">
        <w:rPr>
          <w:rFonts w:asciiTheme="majorBidi" w:hAnsiTheme="majorBidi" w:cstheme="majorBidi"/>
          <w:b/>
          <w:bCs/>
          <w:sz w:val="32"/>
          <w:szCs w:val="32"/>
          <w:u w:val="single"/>
        </w:rPr>
        <w:t>É</w:t>
      </w:r>
      <w:r w:rsidRPr="00FD0305">
        <w:rPr>
          <w:rFonts w:asciiTheme="majorBidi" w:hAnsiTheme="majorBidi" w:cstheme="majorBidi"/>
          <w:b/>
          <w:bCs/>
          <w:sz w:val="32"/>
          <w:szCs w:val="32"/>
          <w:u w:val="single"/>
        </w:rPr>
        <w:t>SIDENTIELLE A L'</w:t>
      </w:r>
      <w:r w:rsidR="00F93E68" w:rsidRPr="00FD0305">
        <w:rPr>
          <w:rFonts w:asciiTheme="majorBidi" w:hAnsiTheme="majorBidi" w:cstheme="majorBidi"/>
          <w:b/>
          <w:bCs/>
          <w:sz w:val="32"/>
          <w:szCs w:val="32"/>
          <w:u w:val="single"/>
        </w:rPr>
        <w:t>É</w:t>
      </w:r>
      <w:r w:rsidRPr="00FD0305">
        <w:rPr>
          <w:rFonts w:asciiTheme="majorBidi" w:hAnsiTheme="majorBidi" w:cstheme="majorBidi"/>
          <w:b/>
          <w:bCs/>
          <w:sz w:val="32"/>
          <w:szCs w:val="32"/>
          <w:u w:val="single"/>
        </w:rPr>
        <w:t>TRANGER</w:t>
      </w:r>
    </w:p>
    <w:p w:rsidR="00EB7C96" w:rsidRPr="00FD0305" w:rsidRDefault="009A0B83" w:rsidP="008C5F25">
      <w:pPr>
        <w:shd w:val="clear" w:color="auto" w:fill="D9D9D9"/>
        <w:ind w:right="-1"/>
        <w:jc w:val="center"/>
        <w:rPr>
          <w:rFonts w:asciiTheme="majorBidi" w:hAnsiTheme="majorBidi" w:cstheme="majorBidi"/>
          <w:b/>
          <w:bCs/>
          <w:color w:val="FF0000"/>
          <w:szCs w:val="24"/>
          <w:u w:val="single"/>
        </w:rPr>
      </w:pPr>
      <w:proofErr w:type="spellStart"/>
      <w:r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Algéro</w:t>
      </w:r>
      <w:proofErr w:type="spellEnd"/>
      <w:r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-Français </w:t>
      </w:r>
      <w:r w:rsidR="004B797C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PROFAS B</w:t>
      </w:r>
      <w:r w:rsidR="004B797C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+</w:t>
      </w:r>
      <w:r w:rsidR="004B797C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="003424AF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201</w:t>
      </w:r>
      <w:r w:rsidR="00F10103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7</w:t>
      </w:r>
      <w:r w:rsidR="003424AF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-201</w:t>
      </w:r>
      <w:r w:rsidR="00F10103" w:rsidRPr="00FD030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8</w:t>
      </w:r>
    </w:p>
    <w:p w:rsidR="003424AF" w:rsidRPr="008C5F25" w:rsidRDefault="003424AF" w:rsidP="008C5F25">
      <w:pPr>
        <w:ind w:left="-284"/>
        <w:jc w:val="both"/>
        <w:rPr>
          <w:rFonts w:asciiTheme="majorBidi" w:hAnsiTheme="majorBidi" w:cstheme="majorBidi"/>
          <w:b/>
          <w:bCs/>
          <w:szCs w:val="24"/>
          <w:u w:val="single"/>
        </w:rPr>
      </w:pPr>
    </w:p>
    <w:p w:rsidR="003424AF" w:rsidRPr="008C5F25" w:rsidRDefault="00E37232" w:rsidP="008C5F25">
      <w:pPr>
        <w:tabs>
          <w:tab w:val="left" w:pos="0"/>
        </w:tabs>
        <w:ind w:right="-1"/>
        <w:jc w:val="both"/>
        <w:rPr>
          <w:rFonts w:asciiTheme="majorBidi" w:hAnsiTheme="majorBidi" w:cstheme="majorBidi"/>
          <w:sz w:val="32"/>
          <w:szCs w:val="32"/>
        </w:rPr>
      </w:pPr>
      <w:r w:rsidRPr="008C5F25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t>Échéancier</w:t>
      </w:r>
      <w:r w:rsidR="003424AF" w:rsidRPr="008C5F25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t xml:space="preserve"> M.E.S.R.S</w:t>
      </w:r>
      <w:r w:rsidR="003424AF" w:rsidRPr="008C5F25">
        <w:rPr>
          <w:rFonts w:asciiTheme="majorBidi" w:hAnsiTheme="majorBidi" w:cstheme="majorBidi"/>
          <w:sz w:val="32"/>
          <w:szCs w:val="32"/>
          <w:highlight w:val="lightGray"/>
        </w:rPr>
        <w:t> :</w:t>
      </w:r>
    </w:p>
    <w:p w:rsidR="0057508D" w:rsidRPr="008C5F25" w:rsidRDefault="0057508D" w:rsidP="008C5F25">
      <w:pPr>
        <w:pStyle w:val="Titre2"/>
        <w:spacing w:before="0" w:line="240" w:lineRule="auto"/>
        <w:jc w:val="both"/>
        <w:rPr>
          <w:rFonts w:asciiTheme="majorBidi" w:hAnsiTheme="majorBidi" w:cstheme="majorBidi"/>
          <w:color w:val="auto"/>
          <w:u w:val="single"/>
        </w:rPr>
      </w:pPr>
      <w:r w:rsidRPr="00FD0305">
        <w:rPr>
          <w:rFonts w:asciiTheme="majorBidi" w:hAnsiTheme="majorBidi" w:cstheme="majorBidi"/>
          <w:color w:val="auto"/>
          <w:highlight w:val="yellow"/>
          <w:u w:val="single"/>
        </w:rPr>
        <w:t>Mars 2017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Lundi 06 mars 2017</w:t>
      </w:r>
      <w:r w:rsidRPr="008C5F25">
        <w:rPr>
          <w:rFonts w:asciiTheme="majorBidi" w:hAnsiTheme="majorBidi" w:cstheme="majorBidi"/>
        </w:rPr>
        <w:t> : Publication de l’appel à candidatures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Jeudi 06 avril 2017</w:t>
      </w:r>
      <w:r w:rsidRPr="008C5F25">
        <w:rPr>
          <w:rFonts w:asciiTheme="majorBidi" w:hAnsiTheme="majorBidi" w:cstheme="majorBidi"/>
        </w:rPr>
        <w:t> : Clôture de l’appel à candidatures</w:t>
      </w:r>
    </w:p>
    <w:p w:rsidR="0057508D" w:rsidRPr="008C5F25" w:rsidRDefault="0057508D" w:rsidP="008C5F25">
      <w:pPr>
        <w:pStyle w:val="Titre2"/>
        <w:spacing w:before="0" w:line="240" w:lineRule="auto"/>
        <w:jc w:val="both"/>
        <w:rPr>
          <w:rFonts w:asciiTheme="majorBidi" w:hAnsiTheme="majorBidi" w:cstheme="majorBidi"/>
          <w:color w:val="auto"/>
          <w:u w:val="single"/>
        </w:rPr>
      </w:pPr>
      <w:r w:rsidRPr="00FD0305">
        <w:rPr>
          <w:rFonts w:asciiTheme="majorBidi" w:hAnsiTheme="majorBidi" w:cstheme="majorBidi"/>
          <w:color w:val="auto"/>
          <w:highlight w:val="yellow"/>
          <w:u w:val="single"/>
        </w:rPr>
        <w:t>Avril 2017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Du dimanche 09 au mercredi 12 avril 2017</w:t>
      </w:r>
      <w:r w:rsidRPr="008C5F25">
        <w:rPr>
          <w:rFonts w:asciiTheme="majorBidi" w:hAnsiTheme="majorBidi" w:cstheme="majorBidi"/>
        </w:rPr>
        <w:t> : Examen des candidatures et émission des procès-verbaux de présélection par les Conseils Scientifiques des établissements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 xml:space="preserve">Jeudi 13 avril 2017 : </w:t>
      </w:r>
      <w:r w:rsidRPr="008C5F25">
        <w:rPr>
          <w:rFonts w:asciiTheme="majorBidi" w:hAnsiTheme="majorBidi" w:cstheme="majorBidi"/>
        </w:rPr>
        <w:t>Réception des dossiers de candidature par les Conférences Régionales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  <w:b/>
        </w:rPr>
      </w:pPr>
      <w:r w:rsidRPr="008C5F25">
        <w:rPr>
          <w:rFonts w:asciiTheme="majorBidi" w:hAnsiTheme="majorBidi" w:cstheme="majorBidi"/>
          <w:b/>
        </w:rPr>
        <w:t xml:space="preserve">Du dimanche 16 au mardi 18 avril 2017 : </w:t>
      </w:r>
      <w:r w:rsidRPr="008C5F25">
        <w:rPr>
          <w:rFonts w:asciiTheme="majorBidi" w:hAnsiTheme="majorBidi" w:cstheme="majorBidi"/>
        </w:rPr>
        <w:t>Contrôle de conformité par les Conférences régionales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Mercredi 19 avril 2017</w:t>
      </w:r>
      <w:r w:rsidRPr="008C5F25">
        <w:rPr>
          <w:rFonts w:asciiTheme="majorBidi" w:hAnsiTheme="majorBidi" w:cstheme="majorBidi"/>
        </w:rPr>
        <w:t> : Réception par le MESRS des dossiers de candidature, des procès-verbaux de présélection des établissements et de la base de données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Du jeudi 20 au lundi 24 avril 2017</w:t>
      </w:r>
      <w:r w:rsidRPr="008C5F25">
        <w:rPr>
          <w:rFonts w:asciiTheme="majorBidi" w:hAnsiTheme="majorBidi" w:cstheme="majorBidi"/>
        </w:rPr>
        <w:t> : Contrôle de conformité des dossiers de candidature par le MESRS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Mercredi 26 avril 2017</w:t>
      </w:r>
      <w:r w:rsidRPr="008C5F25">
        <w:rPr>
          <w:rFonts w:asciiTheme="majorBidi" w:hAnsiTheme="majorBidi" w:cstheme="majorBidi"/>
        </w:rPr>
        <w:t>:</w:t>
      </w:r>
    </w:p>
    <w:p w:rsidR="0057508D" w:rsidRPr="008C5F25" w:rsidRDefault="0057508D" w:rsidP="008C5F25">
      <w:pPr>
        <w:pStyle w:val="Paragraphedeliste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</w:rPr>
        <w:t>Transmission à l’ambassade de la base de données des candidats et des fichiers électroniques des dossiers scientifiques des candidats</w:t>
      </w:r>
    </w:p>
    <w:p w:rsidR="0057508D" w:rsidRPr="008C5F25" w:rsidRDefault="0057508D" w:rsidP="008C5F25">
      <w:pPr>
        <w:pStyle w:val="Paragraphedeliste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</w:rPr>
        <w:t>Réunion entre l’Ambassade et le MESRS pour la répartition des dossiers entre les experts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Jeudi 27 avril 2017</w:t>
      </w:r>
      <w:r w:rsidRPr="008C5F25">
        <w:rPr>
          <w:rFonts w:asciiTheme="majorBidi" w:hAnsiTheme="majorBidi" w:cstheme="majorBidi"/>
        </w:rPr>
        <w:t> : Transmission des dossiers aux experts pour évaluation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</w:p>
    <w:p w:rsidR="0057508D" w:rsidRPr="008C5F25" w:rsidRDefault="0057508D" w:rsidP="008C5F25">
      <w:pPr>
        <w:pStyle w:val="Titre2"/>
        <w:spacing w:before="0" w:line="240" w:lineRule="auto"/>
        <w:jc w:val="both"/>
        <w:rPr>
          <w:rFonts w:asciiTheme="majorBidi" w:hAnsiTheme="majorBidi" w:cstheme="majorBidi"/>
          <w:color w:val="auto"/>
          <w:u w:val="single"/>
        </w:rPr>
      </w:pPr>
      <w:r w:rsidRPr="00FD0305">
        <w:rPr>
          <w:rFonts w:asciiTheme="majorBidi" w:hAnsiTheme="majorBidi" w:cstheme="majorBidi"/>
          <w:color w:val="auto"/>
          <w:highlight w:val="yellow"/>
          <w:u w:val="single"/>
        </w:rPr>
        <w:t>Septembre 2017</w:t>
      </w:r>
    </w:p>
    <w:p w:rsidR="0057508D" w:rsidRPr="008C5F25" w:rsidRDefault="0057508D" w:rsidP="008C5F25">
      <w:pPr>
        <w:ind w:left="708"/>
        <w:jc w:val="both"/>
        <w:rPr>
          <w:rFonts w:asciiTheme="majorBidi" w:hAnsiTheme="majorBidi" w:cstheme="majorBidi"/>
        </w:rPr>
      </w:pPr>
      <w:r w:rsidRPr="008C5F25">
        <w:rPr>
          <w:rFonts w:asciiTheme="majorBidi" w:hAnsiTheme="majorBidi" w:cstheme="majorBidi"/>
          <w:b/>
        </w:rPr>
        <w:t>A partir du lundi 4 septembre 2017</w:t>
      </w:r>
      <w:r w:rsidRPr="008C5F25">
        <w:rPr>
          <w:rFonts w:asciiTheme="majorBidi" w:hAnsiTheme="majorBidi" w:cstheme="majorBidi"/>
        </w:rPr>
        <w:t xml:space="preserve"> : </w:t>
      </w:r>
      <w:r w:rsidRPr="00FD0305">
        <w:rPr>
          <w:rFonts w:asciiTheme="majorBidi" w:hAnsiTheme="majorBidi" w:cstheme="majorBidi"/>
          <w:b/>
          <w:bCs/>
          <w:color w:val="FF0000"/>
          <w:highlight w:val="yellow"/>
        </w:rPr>
        <w:t>Départ des boursiers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b/>
          <w:bCs/>
          <w:szCs w:val="24"/>
          <w:u w:val="single"/>
        </w:rPr>
      </w:pPr>
      <w:r w:rsidRPr="008C5F25">
        <w:rPr>
          <w:rFonts w:asciiTheme="majorBidi" w:hAnsiTheme="majorBidi" w:cstheme="majorBidi"/>
          <w:b/>
          <w:bCs/>
          <w:szCs w:val="24"/>
          <w:u w:val="single"/>
        </w:rPr>
        <w:t xml:space="preserve">N.B : 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szCs w:val="24"/>
        </w:rPr>
        <w:t>- Le Bordereau doit contenir la liste nominative des candidats.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szCs w:val="24"/>
        </w:rPr>
        <w:t xml:space="preserve">- Les dossiers </w:t>
      </w:r>
      <w:r w:rsidR="00124551" w:rsidRPr="008C5F25">
        <w:rPr>
          <w:rFonts w:asciiTheme="majorBidi" w:hAnsiTheme="majorBidi" w:cstheme="majorBidi"/>
          <w:szCs w:val="24"/>
        </w:rPr>
        <w:t xml:space="preserve">des candidats </w:t>
      </w:r>
      <w:r w:rsidRPr="008C5F25">
        <w:rPr>
          <w:rFonts w:asciiTheme="majorBidi" w:hAnsiTheme="majorBidi" w:cstheme="majorBidi"/>
          <w:szCs w:val="24"/>
        </w:rPr>
        <w:t>envoyés à la CRU</w:t>
      </w:r>
      <w:r w:rsidR="008C5F25" w:rsidRPr="008C5F25">
        <w:rPr>
          <w:rFonts w:asciiTheme="majorBidi" w:hAnsiTheme="majorBidi" w:cstheme="majorBidi"/>
          <w:szCs w:val="24"/>
        </w:rPr>
        <w:t>C</w:t>
      </w:r>
      <w:r w:rsidRPr="008C5F25">
        <w:rPr>
          <w:rFonts w:asciiTheme="majorBidi" w:hAnsiTheme="majorBidi" w:cstheme="majorBidi"/>
          <w:szCs w:val="24"/>
        </w:rPr>
        <w:t xml:space="preserve"> doivent être organisés selon le canevas (</w:t>
      </w:r>
      <w:r w:rsidR="00F10103" w:rsidRPr="008C5F25">
        <w:rPr>
          <w:rFonts w:asciiTheme="majorBidi" w:hAnsiTheme="majorBidi" w:cstheme="majorBidi"/>
          <w:szCs w:val="24"/>
        </w:rPr>
        <w:t>2</w:t>
      </w:r>
      <w:r w:rsidRPr="008C5F25">
        <w:rPr>
          <w:rFonts w:asciiTheme="majorBidi" w:hAnsiTheme="majorBidi" w:cstheme="majorBidi"/>
          <w:szCs w:val="24"/>
        </w:rPr>
        <w:t>).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szCs w:val="24"/>
        </w:rPr>
        <w:t>- Les dossiers incomplets ne seront pas acceptés.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szCs w:val="24"/>
        </w:rPr>
        <w:t xml:space="preserve">- Les dossiers doivent </w:t>
      </w:r>
      <w:r w:rsidR="00F10103" w:rsidRPr="008C5F25">
        <w:rPr>
          <w:rFonts w:asciiTheme="majorBidi" w:hAnsiTheme="majorBidi" w:cstheme="majorBidi"/>
          <w:szCs w:val="24"/>
        </w:rPr>
        <w:t xml:space="preserve">être </w:t>
      </w:r>
      <w:r w:rsidRPr="008C5F25">
        <w:rPr>
          <w:rFonts w:asciiTheme="majorBidi" w:hAnsiTheme="majorBidi" w:cstheme="majorBidi"/>
          <w:szCs w:val="24"/>
        </w:rPr>
        <w:t>envoyés avec un responsable des R</w:t>
      </w:r>
      <w:r w:rsidR="00124551" w:rsidRPr="008C5F25">
        <w:rPr>
          <w:rFonts w:asciiTheme="majorBidi" w:hAnsiTheme="majorBidi" w:cstheme="majorBidi"/>
          <w:szCs w:val="24"/>
        </w:rPr>
        <w:t>ELEX</w:t>
      </w:r>
      <w:r w:rsidRPr="008C5F25">
        <w:rPr>
          <w:rFonts w:asciiTheme="majorBidi" w:hAnsiTheme="majorBidi" w:cstheme="majorBidi"/>
          <w:szCs w:val="24"/>
        </w:rPr>
        <w:t xml:space="preserve"> (les dossiers envoyés avec les chauffeurs ne seront pas acceptés).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szCs w:val="24"/>
        </w:rPr>
        <w:t>- Les dossiers hors délai ne seront pas acceptés.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b/>
          <w:bCs/>
          <w:szCs w:val="24"/>
        </w:rPr>
      </w:pPr>
      <w:r w:rsidRPr="008C5F25">
        <w:rPr>
          <w:rFonts w:asciiTheme="majorBidi" w:hAnsiTheme="majorBidi" w:cstheme="majorBidi"/>
          <w:b/>
          <w:bCs/>
          <w:szCs w:val="24"/>
        </w:rPr>
        <w:t>- On ne traite pas les dossiers avec les candidats.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szCs w:val="24"/>
        </w:rPr>
        <w:t>- Après étude des dossiers par la commission de la CRU</w:t>
      </w:r>
      <w:r w:rsidR="008C5F25" w:rsidRPr="008C5F25">
        <w:rPr>
          <w:rFonts w:asciiTheme="majorBidi" w:hAnsiTheme="majorBidi" w:cstheme="majorBidi"/>
          <w:szCs w:val="24"/>
        </w:rPr>
        <w:t>C</w:t>
      </w:r>
      <w:r w:rsidRPr="008C5F25">
        <w:rPr>
          <w:rFonts w:asciiTheme="majorBidi" w:hAnsiTheme="majorBidi" w:cstheme="majorBidi"/>
          <w:szCs w:val="24"/>
        </w:rPr>
        <w:t xml:space="preserve">, les compléments de dossiers doivent être ramené par un responsable des </w:t>
      </w:r>
      <w:proofErr w:type="spellStart"/>
      <w:r w:rsidRPr="008C5F25">
        <w:rPr>
          <w:rFonts w:asciiTheme="majorBidi" w:hAnsiTheme="majorBidi" w:cstheme="majorBidi"/>
          <w:szCs w:val="24"/>
        </w:rPr>
        <w:t>Relex</w:t>
      </w:r>
      <w:proofErr w:type="spellEnd"/>
      <w:r w:rsidRPr="008C5F25">
        <w:rPr>
          <w:rFonts w:asciiTheme="majorBidi" w:hAnsiTheme="majorBidi" w:cstheme="majorBidi"/>
          <w:szCs w:val="24"/>
        </w:rPr>
        <w:t>.</w:t>
      </w:r>
    </w:p>
    <w:p w:rsidR="007B1CE6" w:rsidRPr="008C5F25" w:rsidRDefault="007B1CE6" w:rsidP="008C5F25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ajorBidi" w:hAnsiTheme="majorBidi" w:cstheme="majorBidi"/>
          <w:szCs w:val="24"/>
        </w:rPr>
      </w:pPr>
      <w:r w:rsidRPr="008C5F25">
        <w:rPr>
          <w:rFonts w:asciiTheme="majorBidi" w:hAnsiTheme="majorBidi" w:cstheme="majorBidi"/>
          <w:b/>
          <w:bCs/>
          <w:szCs w:val="24"/>
          <w:u w:val="single"/>
        </w:rPr>
        <w:t xml:space="preserve">P.J : </w:t>
      </w:r>
      <w:r w:rsidRPr="008C5F25">
        <w:rPr>
          <w:rFonts w:asciiTheme="majorBidi" w:hAnsiTheme="majorBidi" w:cstheme="majorBidi"/>
          <w:szCs w:val="24"/>
        </w:rPr>
        <w:t xml:space="preserve">- </w:t>
      </w:r>
      <w:r w:rsidR="00F10103" w:rsidRPr="008C5F25">
        <w:rPr>
          <w:rFonts w:asciiTheme="majorBidi" w:hAnsiTheme="majorBidi" w:cstheme="majorBidi"/>
          <w:szCs w:val="24"/>
        </w:rPr>
        <w:t xml:space="preserve">Canevas (2) : </w:t>
      </w:r>
      <w:r w:rsidR="00F10D74" w:rsidRPr="008C5F25">
        <w:rPr>
          <w:rFonts w:asciiTheme="majorBidi" w:hAnsiTheme="majorBidi" w:cstheme="majorBidi"/>
          <w:szCs w:val="24"/>
        </w:rPr>
        <w:t>F</w:t>
      </w:r>
      <w:r w:rsidRPr="008C5F25">
        <w:rPr>
          <w:rFonts w:asciiTheme="majorBidi" w:hAnsiTheme="majorBidi" w:cstheme="majorBidi"/>
          <w:szCs w:val="24"/>
        </w:rPr>
        <w:t xml:space="preserve">iche de contrôle des dossiers </w:t>
      </w:r>
      <w:r w:rsidR="00124551" w:rsidRPr="008C5F25">
        <w:rPr>
          <w:rFonts w:asciiTheme="majorBidi" w:hAnsiTheme="majorBidi" w:cstheme="majorBidi"/>
          <w:szCs w:val="24"/>
        </w:rPr>
        <w:t>des Doctorants non salariés</w:t>
      </w:r>
      <w:r w:rsidRPr="008C5F25">
        <w:rPr>
          <w:rFonts w:asciiTheme="majorBidi" w:hAnsiTheme="majorBidi" w:cstheme="majorBidi"/>
          <w:szCs w:val="24"/>
        </w:rPr>
        <w:t xml:space="preserve"> postulants pour le programme boursier P</w:t>
      </w:r>
      <w:r w:rsidR="00124551" w:rsidRPr="008C5F25">
        <w:rPr>
          <w:rFonts w:asciiTheme="majorBidi" w:hAnsiTheme="majorBidi" w:cstheme="majorBidi"/>
          <w:szCs w:val="24"/>
        </w:rPr>
        <w:t>ROFAS B+</w:t>
      </w:r>
      <w:r w:rsidRPr="008C5F25">
        <w:rPr>
          <w:rFonts w:asciiTheme="majorBidi" w:hAnsiTheme="majorBidi" w:cstheme="majorBidi"/>
          <w:szCs w:val="24"/>
        </w:rPr>
        <w:t xml:space="preserve"> 201</w:t>
      </w:r>
      <w:r w:rsidR="00F10103" w:rsidRPr="008C5F25">
        <w:rPr>
          <w:rFonts w:asciiTheme="majorBidi" w:hAnsiTheme="majorBidi" w:cstheme="majorBidi"/>
          <w:szCs w:val="24"/>
        </w:rPr>
        <w:t>7</w:t>
      </w:r>
      <w:r w:rsidRPr="008C5F25">
        <w:rPr>
          <w:rFonts w:asciiTheme="majorBidi" w:hAnsiTheme="majorBidi" w:cstheme="majorBidi"/>
          <w:szCs w:val="24"/>
        </w:rPr>
        <w:t>-201</w:t>
      </w:r>
      <w:r w:rsidR="00F10103" w:rsidRPr="008C5F25">
        <w:rPr>
          <w:rFonts w:asciiTheme="majorBidi" w:hAnsiTheme="majorBidi" w:cstheme="majorBidi"/>
          <w:szCs w:val="24"/>
        </w:rPr>
        <w:t>8</w:t>
      </w:r>
      <w:r w:rsidRPr="008C5F25">
        <w:rPr>
          <w:rFonts w:asciiTheme="majorBidi" w:hAnsiTheme="majorBidi" w:cstheme="majorBidi"/>
          <w:szCs w:val="24"/>
        </w:rPr>
        <w:t>.</w:t>
      </w:r>
    </w:p>
    <w:sectPr w:rsidR="007B1CE6" w:rsidRPr="008C5F25" w:rsidSect="00E372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3B"/>
    <w:multiLevelType w:val="hybridMultilevel"/>
    <w:tmpl w:val="B2609E94"/>
    <w:lvl w:ilvl="0" w:tplc="98BAC80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D42F59"/>
    <w:multiLevelType w:val="hybridMultilevel"/>
    <w:tmpl w:val="DD42F04E"/>
    <w:lvl w:ilvl="0" w:tplc="F344FBFC">
      <w:start w:val="5"/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C6769C"/>
    <w:multiLevelType w:val="hybridMultilevel"/>
    <w:tmpl w:val="01CE90CE"/>
    <w:lvl w:ilvl="0" w:tplc="913643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EE931F5"/>
    <w:multiLevelType w:val="hybridMultilevel"/>
    <w:tmpl w:val="B4C80E80"/>
    <w:lvl w:ilvl="0" w:tplc="D1AA0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4D6D91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B1B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96"/>
    <w:rsid w:val="00072629"/>
    <w:rsid w:val="000869A1"/>
    <w:rsid w:val="000F68FD"/>
    <w:rsid w:val="001050CD"/>
    <w:rsid w:val="00117582"/>
    <w:rsid w:val="00124445"/>
    <w:rsid w:val="00124551"/>
    <w:rsid w:val="00173CE5"/>
    <w:rsid w:val="001A20D6"/>
    <w:rsid w:val="002104E4"/>
    <w:rsid w:val="00250185"/>
    <w:rsid w:val="002E5507"/>
    <w:rsid w:val="00340CCC"/>
    <w:rsid w:val="003424AF"/>
    <w:rsid w:val="003601E5"/>
    <w:rsid w:val="00385B35"/>
    <w:rsid w:val="003B3658"/>
    <w:rsid w:val="003C00E4"/>
    <w:rsid w:val="00436FBE"/>
    <w:rsid w:val="00454022"/>
    <w:rsid w:val="004A3005"/>
    <w:rsid w:val="004B797C"/>
    <w:rsid w:val="00573B4E"/>
    <w:rsid w:val="0057508D"/>
    <w:rsid w:val="005A49E8"/>
    <w:rsid w:val="005D14CF"/>
    <w:rsid w:val="00695E1C"/>
    <w:rsid w:val="006B2541"/>
    <w:rsid w:val="006C32AD"/>
    <w:rsid w:val="006C40CC"/>
    <w:rsid w:val="00760E43"/>
    <w:rsid w:val="00784C52"/>
    <w:rsid w:val="007B1CE6"/>
    <w:rsid w:val="007B49E2"/>
    <w:rsid w:val="007C2FD8"/>
    <w:rsid w:val="007E1F0D"/>
    <w:rsid w:val="007E2339"/>
    <w:rsid w:val="008B5AAE"/>
    <w:rsid w:val="008C5F25"/>
    <w:rsid w:val="008D1D6B"/>
    <w:rsid w:val="00906B91"/>
    <w:rsid w:val="00935686"/>
    <w:rsid w:val="00970CF6"/>
    <w:rsid w:val="00981A77"/>
    <w:rsid w:val="009A0B83"/>
    <w:rsid w:val="009C4623"/>
    <w:rsid w:val="00A03514"/>
    <w:rsid w:val="00A11584"/>
    <w:rsid w:val="00A321F5"/>
    <w:rsid w:val="00A410E3"/>
    <w:rsid w:val="00A649D2"/>
    <w:rsid w:val="00A7559B"/>
    <w:rsid w:val="00AC4AD5"/>
    <w:rsid w:val="00AD7DE4"/>
    <w:rsid w:val="00AE1099"/>
    <w:rsid w:val="00B00E30"/>
    <w:rsid w:val="00B2694F"/>
    <w:rsid w:val="00B3256D"/>
    <w:rsid w:val="00B368C1"/>
    <w:rsid w:val="00BA3C0E"/>
    <w:rsid w:val="00BA418D"/>
    <w:rsid w:val="00BB3B97"/>
    <w:rsid w:val="00BC6CAD"/>
    <w:rsid w:val="00BC6E02"/>
    <w:rsid w:val="00BD54F4"/>
    <w:rsid w:val="00BD7337"/>
    <w:rsid w:val="00BF3274"/>
    <w:rsid w:val="00C20247"/>
    <w:rsid w:val="00C70A0D"/>
    <w:rsid w:val="00D82BA8"/>
    <w:rsid w:val="00DB1420"/>
    <w:rsid w:val="00DC5424"/>
    <w:rsid w:val="00DF5AA6"/>
    <w:rsid w:val="00E37232"/>
    <w:rsid w:val="00E402B6"/>
    <w:rsid w:val="00E85978"/>
    <w:rsid w:val="00EB7C96"/>
    <w:rsid w:val="00F10103"/>
    <w:rsid w:val="00F10D74"/>
    <w:rsid w:val="00F14AB9"/>
    <w:rsid w:val="00F93E68"/>
    <w:rsid w:val="00FC4FA5"/>
    <w:rsid w:val="00FD0305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50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C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7C96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EB7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5978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E859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E85978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link w:val="Titre2"/>
    <w:uiPriority w:val="9"/>
    <w:rsid w:val="002E550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3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pc</cp:lastModifiedBy>
  <cp:revision>2</cp:revision>
  <cp:lastPrinted>2015-01-07T06:58:00Z</cp:lastPrinted>
  <dcterms:created xsi:type="dcterms:W3CDTF">2017-03-14T10:45:00Z</dcterms:created>
  <dcterms:modified xsi:type="dcterms:W3CDTF">2017-03-14T10:45:00Z</dcterms:modified>
</cp:coreProperties>
</file>